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4EDBA">
      <w:pPr>
        <w:jc w:val="center"/>
        <w:rPr>
          <w:sz w:val="36"/>
          <w:szCs w:val="36"/>
        </w:rPr>
      </w:pPr>
      <w:r>
        <w:rPr>
          <w:rFonts w:hint="eastAsia"/>
          <w:b/>
          <w:bCs/>
          <w:sz w:val="36"/>
          <w:szCs w:val="36"/>
        </w:rPr>
        <w:t>2025年宿迁市重点问题农产品市场流通环节专项监测项目被推荐供应商名单和推荐理由</w:t>
      </w:r>
    </w:p>
    <w:p w14:paraId="35D6D869">
      <w:pPr>
        <w:jc w:val="center"/>
      </w:pPr>
      <w:r>
        <w:drawing>
          <wp:inline distT="0" distB="0" distL="114300" distR="114300">
            <wp:extent cx="5312410" cy="1316355"/>
            <wp:effectExtent l="0" t="0" r="2540" b="171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312410" cy="1316355"/>
                    </a:xfrm>
                    <a:prstGeom prst="rect">
                      <a:avLst/>
                    </a:prstGeom>
                    <a:noFill/>
                    <a:ln>
                      <a:noFill/>
                    </a:ln>
                  </pic:spPr>
                </pic:pic>
              </a:graphicData>
            </a:graphic>
          </wp:inline>
        </w:drawing>
      </w:r>
    </w:p>
    <w:p w14:paraId="7952C07C">
      <w:pPr>
        <w:jc w:val="center"/>
      </w:pPr>
      <w:r>
        <w:drawing>
          <wp:inline distT="0" distB="0" distL="114300" distR="114300">
            <wp:extent cx="5300980" cy="1302385"/>
            <wp:effectExtent l="0" t="0" r="13970" b="1206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5300980" cy="1302385"/>
                    </a:xfrm>
                    <a:prstGeom prst="rect">
                      <a:avLst/>
                    </a:prstGeom>
                    <a:noFill/>
                    <a:ln>
                      <a:noFill/>
                    </a:ln>
                  </pic:spPr>
                </pic:pic>
              </a:graphicData>
            </a:graphic>
          </wp:inline>
        </w:drawing>
      </w:r>
      <w:r>
        <w:drawing>
          <wp:inline distT="0" distB="0" distL="114300" distR="114300">
            <wp:extent cx="5281930" cy="1285875"/>
            <wp:effectExtent l="0" t="0" r="13970" b="952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5281930" cy="1285875"/>
                    </a:xfrm>
                    <a:prstGeom prst="rect">
                      <a:avLst/>
                    </a:prstGeom>
                    <a:noFill/>
                    <a:ln>
                      <a:noFill/>
                    </a:ln>
                  </pic:spPr>
                </pic:pic>
              </a:graphicData>
            </a:graphic>
          </wp:inline>
        </w:drawing>
      </w:r>
    </w:p>
    <w:p w14:paraId="26EB6529">
      <w:pPr>
        <w:jc w:val="center"/>
      </w:pPr>
      <w:r>
        <w:drawing>
          <wp:inline distT="0" distB="0" distL="114300" distR="114300">
            <wp:extent cx="5278755" cy="1280160"/>
            <wp:effectExtent l="0" t="0" r="17145" b="1524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5278755" cy="1280160"/>
                    </a:xfrm>
                    <a:prstGeom prst="rect">
                      <a:avLst/>
                    </a:prstGeom>
                    <a:noFill/>
                    <a:ln>
                      <a:noFill/>
                    </a:ln>
                  </pic:spPr>
                </pic:pic>
              </a:graphicData>
            </a:graphic>
          </wp:inline>
        </w:drawing>
      </w:r>
    </w:p>
    <w:p w14:paraId="45C5D7BF">
      <w:pPr>
        <w:jc w:val="center"/>
      </w:pPr>
      <w:r>
        <w:drawing>
          <wp:inline distT="0" distB="0" distL="114300" distR="114300">
            <wp:extent cx="5283200" cy="1280795"/>
            <wp:effectExtent l="0" t="0" r="12700" b="1460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stretch>
                      <a:fillRect/>
                    </a:stretch>
                  </pic:blipFill>
                  <pic:spPr>
                    <a:xfrm>
                      <a:off x="0" y="0"/>
                      <a:ext cx="5283200" cy="1280795"/>
                    </a:xfrm>
                    <a:prstGeom prst="rect">
                      <a:avLst/>
                    </a:prstGeom>
                    <a:noFill/>
                    <a:ln>
                      <a:noFill/>
                    </a:ln>
                  </pic:spPr>
                </pic:pic>
              </a:graphicData>
            </a:graphic>
          </wp:inline>
        </w:drawing>
      </w:r>
    </w:p>
    <w:p w14:paraId="610DCF06">
      <w:pPr>
        <w:pBdr>
          <w:top w:val="none" w:color="000000" w:sz="0" w:space="0"/>
          <w:left w:val="none" w:color="000000" w:sz="0" w:space="0"/>
          <w:bottom w:val="none" w:color="000000" w:sz="0" w:space="0"/>
          <w:right w:val="none" w:color="000000" w:sz="0" w:space="0"/>
        </w:pBdr>
        <w:spacing w:before="0" w:after="0" w:line="559" w:lineRule="atLeast"/>
        <w:ind w:left="0" w:right="0" w:firstLine="480"/>
        <w:jc w:val="both"/>
        <w:rPr>
          <w:rFonts w:hint="default" w:ascii="Times New Roman" w:hAnsi="Times New Roman" w:eastAsia="宋体" w:cs="Times New Roman"/>
          <w:kern w:val="0"/>
          <w:sz w:val="24"/>
          <w:szCs w:val="24"/>
        </w:rPr>
      </w:pPr>
      <w:r>
        <w:rPr>
          <w:rFonts w:hint="default" w:ascii="仿宋" w:hAnsi="仿宋" w:eastAsia="仿宋" w:cs="仿宋"/>
          <w:b/>
          <w:color w:val="000000"/>
          <w:kern w:val="0"/>
          <w:sz w:val="24"/>
          <w:szCs w:val="24"/>
        </w:rPr>
        <w:t>开标顺序：按分包序号从小到大依次开标，即先开分包一，再开分包二，接着开分包三，然后开分包四，最后开分包五。评标顺序同开标顺序。</w:t>
      </w:r>
    </w:p>
    <w:p w14:paraId="750463A2">
      <w:pPr>
        <w:pBdr>
          <w:top w:val="none" w:color="000000" w:sz="0" w:space="0"/>
          <w:left w:val="none" w:color="000000" w:sz="0" w:space="0"/>
          <w:bottom w:val="none" w:color="000000" w:sz="0" w:space="0"/>
          <w:right w:val="none" w:color="000000" w:sz="0" w:space="0"/>
        </w:pBdr>
        <w:spacing w:before="0" w:after="0" w:line="559" w:lineRule="atLeast"/>
        <w:ind w:left="0" w:right="0" w:firstLine="480"/>
        <w:jc w:val="both"/>
        <w:rPr>
          <w:rFonts w:hint="default" w:ascii="Times New Roman" w:hAnsi="Times New Roman" w:eastAsia="宋体" w:cs="Times New Roman"/>
          <w:kern w:val="0"/>
          <w:sz w:val="24"/>
          <w:szCs w:val="24"/>
        </w:rPr>
      </w:pPr>
      <w:r>
        <w:rPr>
          <w:rFonts w:hint="default" w:ascii="仿宋" w:hAnsi="仿宋" w:eastAsia="仿宋" w:cs="仿宋"/>
          <w:b/>
          <w:color w:val="000000"/>
          <w:kern w:val="0"/>
          <w:sz w:val="24"/>
          <w:szCs w:val="24"/>
        </w:rPr>
        <w:t>定标原则：按“兼投不兼中”的原则，每位供应商只能在一个分包上中标（成交）。如某供应商已在分包一被推荐为第一成交候选人的，则其参与分包二、分包三、分包四、分包五评标，但在分包二、分包三、分包四、分包五不参与推荐成交候选人的排序。</w:t>
      </w:r>
    </w:p>
    <w:p w14:paraId="20CD395F">
      <w:pPr>
        <w:pBdr>
          <w:top w:val="none" w:color="000000" w:sz="0" w:space="0"/>
          <w:left w:val="none" w:color="000000" w:sz="0" w:space="0"/>
          <w:bottom w:val="none" w:color="000000" w:sz="0" w:space="0"/>
          <w:right w:val="none" w:color="000000" w:sz="0" w:space="0"/>
        </w:pBdr>
        <w:spacing w:before="0" w:after="0" w:line="519" w:lineRule="atLeast"/>
        <w:ind w:left="0" w:right="0" w:firstLine="482"/>
        <w:jc w:val="both"/>
        <w:rPr>
          <w:rFonts w:hint="default" w:ascii="Times New Roman" w:hAnsi="Times New Roman" w:eastAsia="宋体" w:cs="Times New Roman"/>
          <w:kern w:val="0"/>
          <w:sz w:val="24"/>
          <w:szCs w:val="24"/>
        </w:rPr>
      </w:pPr>
      <w:r>
        <w:rPr>
          <w:rFonts w:hint="default" w:ascii="仿宋" w:hAnsi="仿宋" w:eastAsia="仿宋" w:cs="仿宋"/>
          <w:b/>
          <w:color w:val="000000"/>
          <w:kern w:val="0"/>
          <w:sz w:val="24"/>
          <w:szCs w:val="24"/>
        </w:rPr>
        <w:t>注：（1）评审结束后，若其中一个分包受到质疑投诉等原因，导致本分包评审结果改变，但不影响其他分包的评审结果。</w:t>
      </w:r>
    </w:p>
    <w:p w14:paraId="185AD02E">
      <w:pPr>
        <w:pBdr>
          <w:top w:val="none" w:color="000000" w:sz="0" w:space="0"/>
          <w:left w:val="none" w:color="000000" w:sz="0" w:space="0"/>
          <w:bottom w:val="none" w:color="000000" w:sz="0" w:space="0"/>
          <w:right w:val="none" w:color="000000" w:sz="0" w:space="0"/>
        </w:pBdr>
        <w:spacing w:before="0" w:after="0" w:line="519" w:lineRule="atLeast"/>
        <w:ind w:left="0" w:right="0" w:firstLine="482"/>
        <w:jc w:val="both"/>
        <w:rPr>
          <w:rFonts w:hint="default" w:ascii="仿宋" w:hAnsi="仿宋" w:eastAsia="仿宋" w:cs="仿宋"/>
          <w:b/>
          <w:color w:val="000000"/>
          <w:kern w:val="0"/>
          <w:sz w:val="24"/>
          <w:szCs w:val="24"/>
        </w:rPr>
      </w:pPr>
      <w:r>
        <w:rPr>
          <w:rFonts w:hint="default" w:ascii="仿宋" w:hAnsi="仿宋" w:eastAsia="仿宋" w:cs="仿宋"/>
          <w:b/>
          <w:color w:val="000000"/>
          <w:kern w:val="0"/>
          <w:sz w:val="24"/>
          <w:szCs w:val="24"/>
        </w:rPr>
        <w:t>（2）本项目以单价形式进行报价，最终以每批次成交单价*实际工作量结算。</w:t>
      </w:r>
      <w:bookmarkStart w:id="0" w:name="_GoBack"/>
      <w:bookmarkEnd w:id="0"/>
    </w:p>
    <w:p w14:paraId="63D68D90">
      <w:pPr>
        <w:pBdr>
          <w:top w:val="none" w:color="000000" w:sz="0" w:space="0"/>
          <w:left w:val="none" w:color="000000" w:sz="0" w:space="0"/>
          <w:bottom w:val="none" w:color="000000" w:sz="0" w:space="0"/>
          <w:right w:val="none" w:color="000000" w:sz="0" w:space="0"/>
        </w:pBdr>
        <w:spacing w:before="0" w:after="0" w:line="519" w:lineRule="atLeast"/>
        <w:ind w:left="0" w:right="0" w:firstLine="482"/>
        <w:jc w:val="both"/>
        <w:rPr>
          <w:rFonts w:hint="default" w:ascii="仿宋" w:hAnsi="仿宋" w:eastAsia="仿宋" w:cs="仿宋"/>
          <w:b/>
          <w:color w:val="000000"/>
          <w:kern w:val="0"/>
          <w:sz w:val="24"/>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1B258F"/>
    <w:rsid w:val="1756260C"/>
    <w:rsid w:val="25B12B77"/>
    <w:rsid w:val="262D66A1"/>
    <w:rsid w:val="2C532BDA"/>
    <w:rsid w:val="32F97CFA"/>
    <w:rsid w:val="39E735A6"/>
    <w:rsid w:val="5C9C6A27"/>
    <w:rsid w:val="7B3E1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2024-12-24T08:02:00Z</dcterms:created>
  <dc:creator>Administrator</dc:creator>
  <cp:lastModifiedBy>RERE</cp:lastModifiedBy>
  <dcterms:modified xsi:type="dcterms:W3CDTF">2025-08-05T08:48:12Z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3477ED2A7BB84B7AAD840B228D0C11A9_12</vt:lpwstr>
  </property>
  <property fmtid="{D5CDD505-2E9C-101B-9397-08002B2CF9AE}" pid="4" name="KSOTemplateDocerSaveRecord">
    <vt:lpwstr>eyJoZGlkIjoiNTgyZWE5NjlhY2JhYTYzNThiOGEyOWEzNTI5ZWY3N2MiLCJ1c2VySWQiOiIyNzA1NTgyNDQifQ==</vt:lpwstr>
  </property>
</Properties>
</file>